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18 paździ</w:t>
      </w:r>
      <w:bookmarkStart w:id="0" w:name="_GoBack"/>
      <w:bookmarkEnd w:id="0"/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911748" w:rsidP="00911748">
      <w:pPr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* </w:t>
      </w:r>
      <w:r w:rsidR="00257BDF" w:rsidRPr="004B051A">
        <w:rPr>
          <w:rFonts w:ascii="Verdana" w:hAnsi="Verdana"/>
          <w:szCs w:val="18"/>
        </w:rPr>
        <w:t>Właściwe podkreślić.</w:t>
      </w:r>
      <w:r w:rsidR="00257BDF"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6950B6"/>
    <w:rsid w:val="00727359"/>
    <w:rsid w:val="008A44D6"/>
    <w:rsid w:val="008E27EE"/>
    <w:rsid w:val="00911748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72C9C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7888E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4808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Bartosz Szczepiński</cp:lastModifiedBy>
  <cp:revision>3</cp:revision>
  <cp:lastPrinted>2009-03-05T12:50:00Z</cp:lastPrinted>
  <dcterms:created xsi:type="dcterms:W3CDTF">2024-05-23T12:44:00Z</dcterms:created>
  <dcterms:modified xsi:type="dcterms:W3CDTF">2025-08-27T11:57:00Z</dcterms:modified>
</cp:coreProperties>
</file>